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B6" w:rsidRDefault="005B2B85" w:rsidP="00911940">
      <w:pPr>
        <w:jc w:val="center"/>
      </w:pPr>
      <w:bookmarkStart w:id="0" w:name="_GoBack"/>
      <w:bookmarkEnd w:id="0"/>
      <w:r>
        <w:t>Существенные условия договоров по брокерскому обслуживанию</w:t>
      </w:r>
    </w:p>
    <w:p w:rsidR="005B2B85" w:rsidRDefault="005B2B85" w:rsidP="00911940">
      <w:pPr>
        <w:jc w:val="both"/>
      </w:pPr>
    </w:p>
    <w:p w:rsidR="005B2B85" w:rsidRPr="00284EF3" w:rsidRDefault="005B2B85" w:rsidP="00911940">
      <w:pPr>
        <w:ind w:left="284"/>
        <w:jc w:val="both"/>
        <w:rPr>
          <w:sz w:val="24"/>
        </w:rPr>
      </w:pPr>
      <w:r>
        <w:rPr>
          <w:sz w:val="24"/>
        </w:rPr>
        <w:t xml:space="preserve">1.    </w:t>
      </w:r>
      <w:r w:rsidRPr="00284EF3">
        <w:rPr>
          <w:sz w:val="24"/>
        </w:rPr>
        <w:t>В соот</w:t>
      </w:r>
      <w:r>
        <w:rPr>
          <w:sz w:val="24"/>
        </w:rPr>
        <w:t xml:space="preserve">ветствии с условиями </w:t>
      </w:r>
      <w:r w:rsidR="00911940">
        <w:rPr>
          <w:sz w:val="24"/>
        </w:rPr>
        <w:t>д</w:t>
      </w:r>
      <w:r w:rsidRPr="00284EF3">
        <w:rPr>
          <w:sz w:val="24"/>
        </w:rPr>
        <w:t xml:space="preserve">оговора Брокер обязуется за вознаграждение совершать по поручению Клиента биржевые сделки для Клиента </w:t>
      </w:r>
      <w:r>
        <w:rPr>
          <w:sz w:val="24"/>
        </w:rPr>
        <w:t xml:space="preserve">как </w:t>
      </w:r>
      <w:r w:rsidRPr="00284EF3">
        <w:rPr>
          <w:sz w:val="24"/>
        </w:rPr>
        <w:t xml:space="preserve">от </w:t>
      </w:r>
      <w:r>
        <w:rPr>
          <w:sz w:val="24"/>
        </w:rPr>
        <w:t xml:space="preserve">своего имени и за  счет Клиента, так и от </w:t>
      </w:r>
      <w:r w:rsidRPr="00284EF3">
        <w:rPr>
          <w:sz w:val="24"/>
        </w:rPr>
        <w:t xml:space="preserve">имени </w:t>
      </w:r>
      <w:r>
        <w:rPr>
          <w:sz w:val="24"/>
        </w:rPr>
        <w:t xml:space="preserve">Клиента </w:t>
      </w:r>
      <w:r w:rsidRPr="00284EF3">
        <w:rPr>
          <w:sz w:val="24"/>
        </w:rPr>
        <w:t>и за счет Клиента, а также совершать юридические и  иные действия и оказывать услуги, сопутствующие брокерскому обслуживанию на условиях и в порядке, установленном Правилами торгов</w:t>
      </w:r>
      <w:r w:rsidR="00911940">
        <w:rPr>
          <w:sz w:val="24"/>
        </w:rPr>
        <w:t>, размещёнными</w:t>
      </w:r>
      <w:r>
        <w:rPr>
          <w:sz w:val="24"/>
        </w:rPr>
        <w:t xml:space="preserve"> на сайте</w:t>
      </w:r>
      <w:r w:rsidRPr="000455D1">
        <w:rPr>
          <w:sz w:val="24"/>
        </w:rPr>
        <w:t xml:space="preserve"> </w:t>
      </w:r>
      <w:hyperlink r:id="rId5" w:history="1">
        <w:r w:rsidRPr="005B2B85">
          <w:rPr>
            <w:rStyle w:val="a4"/>
            <w:sz w:val="24"/>
          </w:rPr>
          <w:t>http://spimex.com/markets/oil_products/docs/</w:t>
        </w:r>
      </w:hyperlink>
      <w:r w:rsidRPr="000455D1">
        <w:rPr>
          <w:sz w:val="24"/>
        </w:rPr>
        <w:t xml:space="preserve"> </w:t>
      </w:r>
      <w:r w:rsidRPr="00284EF3">
        <w:rPr>
          <w:sz w:val="24"/>
        </w:rPr>
        <w:t>и Правилами клиринга</w:t>
      </w:r>
      <w:r w:rsidR="00911940">
        <w:rPr>
          <w:sz w:val="24"/>
        </w:rPr>
        <w:t>, размещёнными</w:t>
      </w:r>
      <w:r>
        <w:rPr>
          <w:sz w:val="24"/>
        </w:rPr>
        <w:t xml:space="preserve"> на сайте</w:t>
      </w:r>
      <w:r w:rsidRPr="000455D1">
        <w:rPr>
          <w:sz w:val="24"/>
        </w:rPr>
        <w:t xml:space="preserve"> </w:t>
      </w:r>
      <w:hyperlink r:id="rId6" w:history="1">
        <w:r w:rsidRPr="005B2B85">
          <w:rPr>
            <w:rStyle w:val="a4"/>
            <w:sz w:val="24"/>
          </w:rPr>
          <w:t>http://spimex.com/clearing/documents/</w:t>
        </w:r>
      </w:hyperlink>
      <w:r w:rsidRPr="00284EF3">
        <w:rPr>
          <w:sz w:val="24"/>
        </w:rPr>
        <w:t xml:space="preserve">. </w:t>
      </w:r>
      <w:r w:rsidRPr="000455D1">
        <w:rPr>
          <w:sz w:val="24"/>
        </w:rPr>
        <w:t xml:space="preserve"> </w:t>
      </w:r>
    </w:p>
    <w:p w:rsidR="005B2B85" w:rsidRPr="005B2B85" w:rsidRDefault="005B2B85" w:rsidP="00911940">
      <w:pPr>
        <w:pStyle w:val="a3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5B2B85" w:rsidRPr="005B2B85" w:rsidRDefault="005B2B85" w:rsidP="00911940">
      <w:pPr>
        <w:pStyle w:val="a3"/>
        <w:numPr>
          <w:ilvl w:val="0"/>
          <w:numId w:val="3"/>
        </w:numPr>
        <w:ind w:left="284" w:firstLine="0"/>
        <w:jc w:val="both"/>
        <w:rPr>
          <w:sz w:val="24"/>
        </w:rPr>
      </w:pPr>
      <w:r w:rsidRPr="005B2B85">
        <w:rPr>
          <w:sz w:val="24"/>
        </w:rPr>
        <w:t>Брокер во исполнение совершенных по поручению Клиента биржевых сделок от своего имени, но за счет Клиента, заключает прямые догов</w:t>
      </w:r>
      <w:r w:rsidR="00911940">
        <w:rPr>
          <w:sz w:val="24"/>
        </w:rPr>
        <w:t>оры</w:t>
      </w:r>
      <w:r w:rsidRPr="005B2B85">
        <w:rPr>
          <w:sz w:val="24"/>
        </w:rPr>
        <w:t xml:space="preserve"> купли-продажи с Поставщиками, а также совершает все необходимые юридические и/или фактические действия для обеспечения поставки купленного товара </w:t>
      </w:r>
      <w:proofErr w:type="gramStart"/>
      <w:r w:rsidRPr="005B2B85">
        <w:rPr>
          <w:sz w:val="24"/>
        </w:rPr>
        <w:t>на условиях</w:t>
      </w:r>
      <w:proofErr w:type="gramEnd"/>
      <w:r w:rsidRPr="005B2B85">
        <w:rPr>
          <w:sz w:val="24"/>
        </w:rPr>
        <w:t xml:space="preserve"> оговоренных в </w:t>
      </w:r>
      <w:r w:rsidR="00911940">
        <w:rPr>
          <w:sz w:val="24"/>
        </w:rPr>
        <w:t>д</w:t>
      </w:r>
      <w:r w:rsidRPr="005B2B85">
        <w:rPr>
          <w:sz w:val="24"/>
        </w:rPr>
        <w:t>оговоре</w:t>
      </w:r>
      <w:r w:rsidRPr="005B2B85">
        <w:rPr>
          <w:sz w:val="24"/>
        </w:rPr>
        <w:t>.</w:t>
      </w:r>
    </w:p>
    <w:p w:rsidR="005B2B85" w:rsidRDefault="005B2B85" w:rsidP="0091194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709"/>
        </w:tabs>
        <w:ind w:left="284" w:firstLine="0"/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  <w:r w:rsidRPr="005B2B85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Стороны соглашаются с тем, что совершение сдело</w:t>
      </w:r>
      <w:r w:rsidR="00911940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к Брокером в рамках д</w:t>
      </w:r>
      <w:r w:rsidRPr="005B2B85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оговора осуществляется в системе электронных торгов Биржи.</w:t>
      </w:r>
    </w:p>
    <w:p w:rsidR="005B2B85" w:rsidRDefault="005B2B85" w:rsidP="00911940">
      <w:pPr>
        <w:pStyle w:val="HTML"/>
        <w:tabs>
          <w:tab w:val="clear" w:pos="916"/>
          <w:tab w:val="clear" w:pos="1832"/>
          <w:tab w:val="left" w:pos="709"/>
        </w:tabs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</w:p>
    <w:p w:rsidR="005B2B85" w:rsidRDefault="005B2B85" w:rsidP="0091194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709"/>
        </w:tabs>
        <w:ind w:left="294" w:hanging="10"/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  <w:r w:rsidRPr="005B2B85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Брокер исполняет поручения Клиента по совершению сделки с Реальным товаром. При этом Брокер или Клиент (в зависимости от содержания поручения Клиента) выступают в качестве продавца или покупателя товара, поставляемого в определенный Правилами биржевой торговли срок с момента регистрации сделки на Бирже.</w:t>
      </w:r>
    </w:p>
    <w:p w:rsidR="00D2021C" w:rsidRDefault="00D2021C" w:rsidP="00911940">
      <w:pPr>
        <w:pStyle w:val="a5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</w:p>
    <w:p w:rsidR="00D2021C" w:rsidRPr="00D2021C" w:rsidRDefault="00D2021C" w:rsidP="00911940">
      <w:pPr>
        <w:pStyle w:val="a5"/>
        <w:ind w:firstLine="284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 xml:space="preserve">5.    </w:t>
      </w:r>
      <w:r w:rsidRPr="00D2021C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Размер вознаграждени</w:t>
      </w:r>
      <w:r w:rsidR="00911940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я Брокера определяется</w:t>
      </w:r>
      <w:r w:rsidRPr="00D2021C"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  <w:t>:</w:t>
      </w:r>
    </w:p>
    <w:p w:rsidR="00D2021C" w:rsidRPr="00D2021C" w:rsidRDefault="00D2021C" w:rsidP="00911940">
      <w:pPr>
        <w:ind w:left="360"/>
        <w:jc w:val="both"/>
        <w:rPr>
          <w:sz w:val="24"/>
        </w:rPr>
      </w:pPr>
      <w:r w:rsidRPr="00D2021C">
        <w:rPr>
          <w:sz w:val="24"/>
        </w:rPr>
        <w:t>- в случае сове</w:t>
      </w:r>
      <w:r w:rsidR="00911940">
        <w:rPr>
          <w:sz w:val="24"/>
        </w:rPr>
        <w:t xml:space="preserve">ршения Брокером сделок на Бирже </w:t>
      </w:r>
      <w:r w:rsidRPr="00D2021C">
        <w:rPr>
          <w:sz w:val="24"/>
        </w:rPr>
        <w:t>в размере ____ руб. за каждую тонну по всем спецификациям от объема сделки в рублях. Сумма вознаграждения не включает в себя Биржевые сборы и Клиринговые сборы. Сумма вознаграждения указана с учетом НДС.</w:t>
      </w:r>
    </w:p>
    <w:p w:rsidR="005B2B85" w:rsidRDefault="00D2021C" w:rsidP="00911940">
      <w:pPr>
        <w:pStyle w:val="HTML"/>
        <w:tabs>
          <w:tab w:val="clear" w:pos="916"/>
          <w:tab w:val="clear" w:pos="1832"/>
          <w:tab w:val="left" w:pos="709"/>
        </w:tabs>
        <w:ind w:left="284" w:hanging="284"/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     </w:t>
      </w:r>
      <w:r w:rsidRPr="00D2021C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- в случае совершения Брокером сделок в интересах Клиента на внебиржевом рынке на основании </w:t>
      </w:r>
      <w: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        </w:t>
      </w:r>
      <w:r w:rsidR="00911940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д</w:t>
      </w:r>
      <w:r w:rsidRPr="00D2021C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оговора, комиссия з</w:t>
      </w:r>
      <w:r w:rsidR="00911940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а указанные сделки составляет </w:t>
      </w:r>
      <w:r w:rsidRPr="00D2021C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___ руб. за каждую тонну от объема сделки в рублях</w:t>
      </w:r>
      <w:r w:rsidR="00911940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,</w:t>
      </w:r>
      <w:r w:rsidRPr="00D2021C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включая НДС.</w:t>
      </w:r>
    </w:p>
    <w:p w:rsidR="00D2021C" w:rsidRDefault="00D2021C" w:rsidP="00911940">
      <w:pPr>
        <w:pStyle w:val="HTML"/>
        <w:tabs>
          <w:tab w:val="clear" w:pos="916"/>
          <w:tab w:val="clear" w:pos="1832"/>
          <w:tab w:val="left" w:pos="709"/>
        </w:tabs>
        <w:ind w:left="284" w:hanging="284"/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</w:p>
    <w:p w:rsidR="00D2021C" w:rsidRDefault="00D2021C" w:rsidP="00911940">
      <w:pPr>
        <w:pStyle w:val="HTML"/>
        <w:tabs>
          <w:tab w:val="clear" w:pos="916"/>
          <w:tab w:val="clear" w:pos="1832"/>
          <w:tab w:val="left" w:pos="709"/>
        </w:tabs>
        <w:ind w:left="284"/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ab/>
        <w:t>Конкретный размер вознаграждения определяется индивидуально с каждым Клиентом в зависимости от планируемого объема сделок.</w:t>
      </w:r>
    </w:p>
    <w:sectPr w:rsidR="00D2021C" w:rsidSect="005B2B8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84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2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1" w15:restartNumberingAfterBreak="0">
    <w:nsid w:val="308A6823"/>
    <w:multiLevelType w:val="hybridMultilevel"/>
    <w:tmpl w:val="07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7732"/>
    <w:multiLevelType w:val="hybridMultilevel"/>
    <w:tmpl w:val="0D527A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2110DD"/>
    <w:multiLevelType w:val="hybridMultilevel"/>
    <w:tmpl w:val="E046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300564"/>
    <w:rsid w:val="005B2B85"/>
    <w:rsid w:val="00911940"/>
    <w:rsid w:val="00962741"/>
    <w:rsid w:val="00D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9EAC"/>
  <w15:chartTrackingRefBased/>
  <w15:docId w15:val="{16A7DF03-F257-4830-8E40-06E56C14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85"/>
    <w:pPr>
      <w:ind w:left="720"/>
      <w:contextualSpacing/>
    </w:pPr>
  </w:style>
  <w:style w:type="paragraph" w:styleId="HTML">
    <w:name w:val="HTML Preformatted"/>
    <w:aliases w:val=" Знак"/>
    <w:basedOn w:val="a"/>
    <w:link w:val="HTML0"/>
    <w:rsid w:val="005B2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5B2B8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B2B85"/>
    <w:rPr>
      <w:color w:val="0563C1" w:themeColor="hyperlink"/>
      <w:u w:val="single"/>
    </w:rPr>
  </w:style>
  <w:style w:type="paragraph" w:styleId="3">
    <w:name w:val="Body Text 3"/>
    <w:basedOn w:val="a"/>
    <w:link w:val="30"/>
    <w:rsid w:val="00D202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20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202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D20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1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mex.com/clearing/documents/" TargetMode="External"/><Relationship Id="rId5" Type="http://schemas.openxmlformats.org/officeDocument/2006/relationships/hyperlink" Target="http://spimex.com/markets/oil_products/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Мешков.</dc:creator>
  <cp:keywords/>
  <dc:description/>
  <cp:lastModifiedBy>Николай Мешков.</cp:lastModifiedBy>
  <cp:revision>2</cp:revision>
  <cp:lastPrinted>2017-11-07T08:43:00Z</cp:lastPrinted>
  <dcterms:created xsi:type="dcterms:W3CDTF">2017-11-07T08:29:00Z</dcterms:created>
  <dcterms:modified xsi:type="dcterms:W3CDTF">2017-11-07T08:53:00Z</dcterms:modified>
</cp:coreProperties>
</file>